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BDE" w:rsidRDefault="00940BD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81"/>
        <w:gridCol w:w="8505"/>
      </w:tblGrid>
      <w:tr w:rsidR="00940BDE">
        <w:tc>
          <w:tcPr>
            <w:tcW w:w="1281" w:type="dxa"/>
          </w:tcPr>
          <w:p w:rsidR="00940BDE" w:rsidRDefault="005C5EAE">
            <w:r>
              <w:rPr>
                <w:noProof/>
                <w:lang w:val="en-US"/>
              </w:rPr>
              <w:drawing>
                <wp:inline distT="0" distB="0" distL="0" distR="0">
                  <wp:extent cx="688802" cy="68880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8802" cy="688802"/>
                          </a:xfrm>
                          <a:prstGeom prst="rect">
                            <a:avLst/>
                          </a:prstGeom>
                          <a:ln/>
                        </pic:spPr>
                      </pic:pic>
                    </a:graphicData>
                  </a:graphic>
                </wp:inline>
              </w:drawing>
            </w:r>
          </w:p>
        </w:tc>
        <w:tc>
          <w:tcPr>
            <w:tcW w:w="8505" w:type="dxa"/>
            <w:vAlign w:val="bottom"/>
          </w:tcPr>
          <w:p w:rsidR="00940BDE" w:rsidRDefault="005C5EAE">
            <w:pPr>
              <w:rPr>
                <w:rFonts w:ascii="Arial" w:eastAsia="Arial" w:hAnsi="Arial" w:cs="Arial"/>
                <w:color w:val="595959"/>
                <w:sz w:val="44"/>
                <w:szCs w:val="44"/>
              </w:rPr>
            </w:pPr>
            <w:r>
              <w:rPr>
                <w:rFonts w:ascii="Arial" w:eastAsia="Arial" w:hAnsi="Arial" w:cs="Arial"/>
                <w:color w:val="595959"/>
                <w:sz w:val="36"/>
                <w:szCs w:val="36"/>
              </w:rPr>
              <w:t xml:space="preserve">TÍTULO DE UNIDAD Y/O </w:t>
            </w:r>
            <w:r w:rsidR="00BC19D6">
              <w:rPr>
                <w:rFonts w:ascii="Arial" w:eastAsia="Arial" w:hAnsi="Arial" w:cs="Arial"/>
                <w:color w:val="595959"/>
                <w:sz w:val="36"/>
                <w:szCs w:val="36"/>
              </w:rPr>
              <w:t>SEMANA</w:t>
            </w:r>
            <w:bookmarkStart w:id="0" w:name="_GoBack"/>
            <w:bookmarkEnd w:id="0"/>
          </w:p>
        </w:tc>
      </w:tr>
      <w:tr w:rsidR="00940BDE">
        <w:trPr>
          <w:trHeight w:val="57"/>
        </w:trPr>
        <w:tc>
          <w:tcPr>
            <w:tcW w:w="9786" w:type="dxa"/>
            <w:gridSpan w:val="2"/>
          </w:tcPr>
          <w:p w:rsidR="00940BDE" w:rsidRDefault="00940BDE"/>
        </w:tc>
      </w:tr>
      <w:tr w:rsidR="00940BDE">
        <w:trPr>
          <w:trHeight w:val="57"/>
        </w:trPr>
        <w:tc>
          <w:tcPr>
            <w:tcW w:w="9786" w:type="dxa"/>
            <w:gridSpan w:val="2"/>
            <w:shd w:val="clear" w:color="auto" w:fill="F16725"/>
          </w:tcPr>
          <w:p w:rsidR="00940BDE" w:rsidRDefault="00940BDE"/>
        </w:tc>
      </w:tr>
    </w:tbl>
    <w:p w:rsidR="00940BDE" w:rsidRDefault="00940BDE">
      <w:pPr>
        <w:rPr>
          <w:rFonts w:ascii="Calibri" w:eastAsia="Calibri" w:hAnsi="Calibri" w:cs="Calibri"/>
          <w:color w:val="000000"/>
        </w:rPr>
      </w:pPr>
    </w:p>
    <w:p w:rsidR="00940BDE" w:rsidRDefault="005C5EAE">
      <w:pPr>
        <w:rPr>
          <w:rFonts w:ascii="Calibri" w:eastAsia="Calibri" w:hAnsi="Calibri" w:cs="Calibri"/>
          <w:b/>
        </w:rPr>
      </w:pPr>
      <w:r>
        <w:rPr>
          <w:rFonts w:ascii="Calibri" w:eastAsia="Calibri" w:hAnsi="Calibri" w:cs="Calibri"/>
          <w:b/>
        </w:rPr>
        <w:t>Instrucciones para llenado.-</w:t>
      </w:r>
    </w:p>
    <w:p w:rsidR="00940BDE" w:rsidRDefault="00940BDE">
      <w:pPr>
        <w:rPr>
          <w:rFonts w:ascii="Calibri" w:eastAsia="Calibri" w:hAnsi="Calibri" w:cs="Calibri"/>
          <w:b/>
        </w:rPr>
      </w:pPr>
    </w:p>
    <w:tbl>
      <w:tblPr>
        <w:tblStyle w:val="a0"/>
        <w:tblW w:w="983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837"/>
      </w:tblGrid>
      <w:tr w:rsidR="00940BDE">
        <w:tc>
          <w:tcPr>
            <w:tcW w:w="9837" w:type="dxa"/>
            <w:shd w:val="clear" w:color="auto" w:fill="E0E0E0"/>
          </w:tcPr>
          <w:p w:rsidR="00940BDE" w:rsidRDefault="005C5EAE">
            <w:pPr>
              <w:rPr>
                <w:rFonts w:ascii="Calibri" w:eastAsia="Calibri" w:hAnsi="Calibri" w:cs="Calibri"/>
                <w:b/>
                <w:color w:val="595959"/>
              </w:rPr>
            </w:pPr>
            <w:r>
              <w:rPr>
                <w:rFonts w:ascii="Calibri" w:eastAsia="Calibri" w:hAnsi="Calibri" w:cs="Calibri"/>
                <w:b/>
                <w:noProof/>
                <w:color w:val="595959"/>
                <w:lang w:val="en-US"/>
              </w:rPr>
              <w:drawing>
                <wp:inline distT="0" distB="0" distL="0" distR="0">
                  <wp:extent cx="99000" cy="90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9000" cy="90000"/>
                          </a:xfrm>
                          <a:prstGeom prst="rect">
                            <a:avLst/>
                          </a:prstGeom>
                          <a:ln/>
                        </pic:spPr>
                      </pic:pic>
                    </a:graphicData>
                  </a:graphic>
                </wp:inline>
              </w:drawing>
            </w:r>
            <w:r>
              <w:rPr>
                <w:rFonts w:ascii="Calibri" w:eastAsia="Calibri" w:hAnsi="Calibri" w:cs="Calibri"/>
                <w:b/>
                <w:color w:val="595959"/>
              </w:rPr>
              <w:t xml:space="preserve"> INFORMACIÓN GENERAL</w:t>
            </w:r>
          </w:p>
        </w:tc>
      </w:tr>
    </w:tbl>
    <w:p w:rsidR="00940BDE" w:rsidRDefault="00940BDE">
      <w:pPr>
        <w:rPr>
          <w:rFonts w:ascii="Calibri" w:eastAsia="Calibri" w:hAnsi="Calibri" w:cs="Calibri"/>
          <w:b/>
          <w:color w:val="595959"/>
        </w:rPr>
      </w:pPr>
    </w:p>
    <w:p w:rsidR="00940BDE" w:rsidRDefault="005C5EAE">
      <w:pPr>
        <w:spacing w:after="200"/>
        <w:rPr>
          <w:rFonts w:ascii="Arial" w:eastAsia="Arial" w:hAnsi="Arial" w:cs="Arial"/>
          <w:b/>
          <w:color w:val="595959"/>
          <w:sz w:val="22"/>
          <w:szCs w:val="22"/>
        </w:rPr>
      </w:pPr>
      <w:r>
        <w:rPr>
          <w:rFonts w:ascii="Arial" w:eastAsia="Arial" w:hAnsi="Arial" w:cs="Arial"/>
          <w:b/>
          <w:color w:val="FF6600"/>
          <w:sz w:val="20"/>
          <w:szCs w:val="20"/>
        </w:rPr>
        <w:t>•</w:t>
      </w:r>
      <w:r>
        <w:rPr>
          <w:rFonts w:ascii="Arial" w:eastAsia="Arial" w:hAnsi="Arial" w:cs="Arial"/>
          <w:b/>
          <w:color w:val="595959"/>
          <w:sz w:val="22"/>
          <w:szCs w:val="22"/>
        </w:rPr>
        <w:t xml:space="preserve"> Descripción:</w:t>
      </w:r>
    </w:p>
    <w:p w:rsidR="00940BDE" w:rsidRDefault="005C5EAE">
      <w:pPr>
        <w:spacing w:after="200"/>
        <w:rPr>
          <w:rFonts w:ascii="Arial" w:eastAsia="Arial" w:hAnsi="Arial" w:cs="Arial"/>
          <w:b/>
          <w:color w:val="595959"/>
          <w:sz w:val="22"/>
          <w:szCs w:val="22"/>
        </w:rPr>
      </w:pPr>
      <w:r>
        <w:rPr>
          <w:rFonts w:ascii="Arial" w:eastAsia="Arial" w:hAnsi="Arial" w:cs="Arial"/>
          <w:b/>
          <w:color w:val="595959"/>
          <w:sz w:val="22"/>
          <w:szCs w:val="22"/>
        </w:rPr>
        <w:t>Es una introducción del módulo o unidad o tema. Permite la introducción a información nueva y crear el nexo con los conocimientos previos.</w:t>
      </w:r>
    </w:p>
    <w:p w:rsidR="00940BDE" w:rsidRDefault="005C5EAE">
      <w:pPr>
        <w:spacing w:after="200"/>
        <w:rPr>
          <w:rFonts w:ascii="Arial" w:eastAsia="Arial" w:hAnsi="Arial" w:cs="Arial"/>
          <w:b/>
          <w:color w:val="595959"/>
          <w:sz w:val="22"/>
          <w:szCs w:val="22"/>
        </w:rPr>
      </w:pPr>
      <w:r>
        <w:rPr>
          <w:rFonts w:ascii="Arial" w:eastAsia="Arial" w:hAnsi="Arial" w:cs="Arial"/>
          <w:b/>
          <w:color w:val="595959"/>
          <w:sz w:val="22"/>
          <w:szCs w:val="22"/>
        </w:rPr>
        <w:t>Su presentación puede ser a través de redacción de un texto breve, o de forma gráfica a través de un esquema o mapa conceptual. Aspectos de la descripción, que favorecen la conexión de conocimientos previos con conocimientos nuevos:</w:t>
      </w:r>
    </w:p>
    <w:p w:rsidR="00940BDE" w:rsidRDefault="005C5EAE">
      <w:pPr>
        <w:numPr>
          <w:ilvl w:val="0"/>
          <w:numId w:val="2"/>
        </w:numPr>
        <w:spacing w:before="420"/>
        <w:rPr>
          <w:b/>
          <w:color w:val="595959"/>
          <w:sz w:val="20"/>
          <w:szCs w:val="20"/>
        </w:rPr>
      </w:pPr>
      <w:r>
        <w:rPr>
          <w:rFonts w:ascii="Arial" w:eastAsia="Arial" w:hAnsi="Arial" w:cs="Arial"/>
          <w:b/>
          <w:color w:val="595959"/>
          <w:sz w:val="20"/>
          <w:szCs w:val="20"/>
        </w:rPr>
        <w:t>Enlace. Relacionar el tema actual con el anterior.</w:t>
      </w:r>
    </w:p>
    <w:p w:rsidR="00940BDE" w:rsidRDefault="005C5EAE">
      <w:pPr>
        <w:numPr>
          <w:ilvl w:val="0"/>
          <w:numId w:val="2"/>
        </w:numPr>
        <w:rPr>
          <w:b/>
          <w:color w:val="595959"/>
          <w:sz w:val="20"/>
          <w:szCs w:val="20"/>
        </w:rPr>
      </w:pPr>
      <w:r>
        <w:rPr>
          <w:rFonts w:ascii="Arial" w:eastAsia="Arial" w:hAnsi="Arial" w:cs="Arial"/>
          <w:b/>
          <w:color w:val="595959"/>
          <w:sz w:val="20"/>
          <w:szCs w:val="20"/>
        </w:rPr>
        <w:t>A manera de: ejemplo. inducción, metáfora, analogía, anécdota.</w:t>
      </w:r>
    </w:p>
    <w:p w:rsidR="00940BDE" w:rsidRDefault="005C5EAE">
      <w:pPr>
        <w:numPr>
          <w:ilvl w:val="0"/>
          <w:numId w:val="2"/>
        </w:numPr>
        <w:rPr>
          <w:b/>
          <w:color w:val="595959"/>
          <w:sz w:val="20"/>
          <w:szCs w:val="20"/>
        </w:rPr>
      </w:pPr>
      <w:r>
        <w:rPr>
          <w:rFonts w:ascii="Arial" w:eastAsia="Arial" w:hAnsi="Arial" w:cs="Arial"/>
          <w:b/>
          <w:color w:val="595959"/>
          <w:sz w:val="20"/>
          <w:szCs w:val="20"/>
        </w:rPr>
        <w:t>Conceptos claves y su relación con el contenido del módulo.</w:t>
      </w:r>
    </w:p>
    <w:p w:rsidR="00940BDE" w:rsidRDefault="005C5EAE">
      <w:pPr>
        <w:numPr>
          <w:ilvl w:val="0"/>
          <w:numId w:val="2"/>
        </w:numPr>
        <w:rPr>
          <w:b/>
          <w:color w:val="595959"/>
          <w:sz w:val="20"/>
          <w:szCs w:val="20"/>
        </w:rPr>
      </w:pPr>
      <w:r>
        <w:rPr>
          <w:rFonts w:ascii="Arial" w:eastAsia="Arial" w:hAnsi="Arial" w:cs="Arial"/>
          <w:b/>
          <w:color w:val="595959"/>
          <w:sz w:val="20"/>
          <w:szCs w:val="20"/>
        </w:rPr>
        <w:t>Finalidad de los temas o módulo. Destacar la importancia del por qué y para qué vamos a estudiar esos temas relevante para el alumno. Se pueden incluir preguntas de reflexión.</w:t>
      </w:r>
    </w:p>
    <w:p w:rsidR="00940BDE" w:rsidRDefault="005C5EAE">
      <w:pPr>
        <w:numPr>
          <w:ilvl w:val="0"/>
          <w:numId w:val="2"/>
        </w:numPr>
        <w:rPr>
          <w:b/>
          <w:color w:val="595959"/>
          <w:sz w:val="20"/>
          <w:szCs w:val="20"/>
        </w:rPr>
      </w:pPr>
      <w:r>
        <w:rPr>
          <w:rFonts w:ascii="Arial" w:eastAsia="Arial" w:hAnsi="Arial" w:cs="Arial"/>
          <w:b/>
          <w:color w:val="595959"/>
          <w:sz w:val="20"/>
          <w:szCs w:val="20"/>
        </w:rPr>
        <w:t>Cierre. Comentar la relación (cuando es necesario) con el siguiente módulo.</w:t>
      </w:r>
    </w:p>
    <w:p w:rsidR="00940BDE" w:rsidRDefault="005C5EAE" w:rsidP="005C5EAE">
      <w:pPr>
        <w:numPr>
          <w:ilvl w:val="0"/>
          <w:numId w:val="2"/>
        </w:numPr>
        <w:spacing w:after="420"/>
        <w:rPr>
          <w:b/>
          <w:color w:val="595959"/>
          <w:sz w:val="20"/>
          <w:szCs w:val="20"/>
        </w:rPr>
      </w:pPr>
      <w:r>
        <w:rPr>
          <w:rFonts w:ascii="Arial" w:eastAsia="Arial" w:hAnsi="Arial" w:cs="Arial"/>
          <w:b/>
          <w:color w:val="595959"/>
          <w:sz w:val="20"/>
          <w:szCs w:val="20"/>
        </w:rPr>
        <w:t>Motivación. Invitar al alumno a que participe activamente en el módulo.</w:t>
      </w:r>
    </w:p>
    <w:p w:rsidR="005C5EAE" w:rsidRPr="005C5EAE" w:rsidRDefault="005C5EAE" w:rsidP="005C5EAE">
      <w:pPr>
        <w:spacing w:after="420"/>
        <w:ind w:left="720"/>
        <w:rPr>
          <w:b/>
          <w:color w:val="595959"/>
          <w:sz w:val="20"/>
          <w:szCs w:val="20"/>
        </w:rPr>
      </w:pPr>
    </w:p>
    <w:p w:rsidR="00940BDE" w:rsidRDefault="005C5EAE">
      <w:pPr>
        <w:rPr>
          <w:rFonts w:ascii="Calibri" w:eastAsia="Calibri" w:hAnsi="Calibri" w:cs="Calibri"/>
          <w:b/>
        </w:rPr>
      </w:pPr>
      <w:r>
        <w:rPr>
          <w:rFonts w:ascii="Calibri" w:eastAsia="Calibri" w:hAnsi="Calibri" w:cs="Calibri"/>
          <w:b/>
        </w:rPr>
        <w:t>Ejemplo Curso Cirugía:</w:t>
      </w:r>
    </w:p>
    <w:p w:rsidR="00940BDE" w:rsidRDefault="00940BDE">
      <w:pPr>
        <w:rPr>
          <w:rFonts w:ascii="Calibri" w:eastAsia="Calibri" w:hAnsi="Calibri" w:cs="Calibri"/>
          <w:b/>
          <w:color w:val="595959"/>
        </w:rPr>
      </w:pPr>
    </w:p>
    <w:p w:rsidR="00940BDE" w:rsidRDefault="005C5EAE">
      <w:pPr>
        <w:rPr>
          <w:rFonts w:ascii="Calibri" w:eastAsia="Calibri" w:hAnsi="Calibri" w:cs="Calibri"/>
          <w:b/>
          <w:color w:val="595959"/>
        </w:rPr>
      </w:pPr>
      <w:r>
        <w:rPr>
          <w:rFonts w:ascii="Calibri" w:eastAsia="Calibri" w:hAnsi="Calibri" w:cs="Calibri"/>
          <w:b/>
          <w:color w:val="595959"/>
        </w:rPr>
        <w:t>Objetivo General de la Unidad.</w:t>
      </w:r>
    </w:p>
    <w:p w:rsidR="00940BDE" w:rsidRDefault="005C5EAE">
      <w:pPr>
        <w:jc w:val="both"/>
        <w:rPr>
          <w:rFonts w:ascii="Calibri" w:eastAsia="Calibri" w:hAnsi="Calibri" w:cs="Calibri"/>
          <w:color w:val="000000"/>
        </w:rPr>
      </w:pPr>
      <w:r>
        <w:rPr>
          <w:rFonts w:ascii="Calibri" w:eastAsia="Calibri" w:hAnsi="Calibri" w:cs="Calibri"/>
          <w:color w:val="000000"/>
        </w:rPr>
        <w:t>Al concluir la asignatura el alumno será capaz de organizar, sintetizar y vincular los conocimientos de las Ciencias Básicas de la Carrera de Medicina, con su aplicación clínica, para obtener un desempeño competente en los problemas de salud de la Especialidad de Cirugía, así como en los exámenes nacionales e internacionales de especialidades médicas de posgrado.</w:t>
      </w:r>
    </w:p>
    <w:p w:rsidR="00940BDE" w:rsidRDefault="00940BDE">
      <w:pPr>
        <w:jc w:val="both"/>
        <w:rPr>
          <w:rFonts w:ascii="Calibri" w:eastAsia="Calibri" w:hAnsi="Calibri" w:cs="Calibri"/>
          <w:color w:val="000000"/>
        </w:rPr>
      </w:pPr>
    </w:p>
    <w:p w:rsidR="00940BDE" w:rsidRDefault="005C5EAE">
      <w:pPr>
        <w:rPr>
          <w:rFonts w:ascii="Calibri" w:eastAsia="Calibri" w:hAnsi="Calibri" w:cs="Calibri"/>
          <w:b/>
          <w:color w:val="595959"/>
        </w:rPr>
      </w:pPr>
      <w:r>
        <w:rPr>
          <w:rFonts w:ascii="Calibri" w:eastAsia="Calibri" w:hAnsi="Calibri" w:cs="Calibri"/>
          <w:b/>
          <w:color w:val="595959"/>
        </w:rPr>
        <w:t>Temas y/o subtemas:</w:t>
      </w:r>
    </w:p>
    <w:p w:rsidR="00940BDE" w:rsidRDefault="005C5EAE">
      <w:pPr>
        <w:numPr>
          <w:ilvl w:val="0"/>
          <w:numId w:val="1"/>
        </w:numPr>
        <w:pBdr>
          <w:top w:val="nil"/>
          <w:left w:val="nil"/>
          <w:bottom w:val="nil"/>
          <w:right w:val="nil"/>
          <w:between w:val="nil"/>
        </w:pBdr>
        <w:rPr>
          <w:rFonts w:ascii="Calibri" w:eastAsia="Calibri" w:hAnsi="Calibri" w:cs="Calibri"/>
          <w:b/>
          <w:color w:val="595959"/>
        </w:rPr>
      </w:pPr>
      <w:r>
        <w:rPr>
          <w:rFonts w:ascii="Calibri" w:eastAsia="Calibri" w:hAnsi="Calibri" w:cs="Calibri"/>
          <w:b/>
          <w:color w:val="595959"/>
        </w:rPr>
        <w:t>Enfermedades que afectan la próstata: Enfermedades que afectan la próstata: Hiperplasia Benigna, Cáncer, Prostatitis.</w:t>
      </w:r>
    </w:p>
    <w:p w:rsidR="00940BDE" w:rsidRDefault="005C5EAE">
      <w:pPr>
        <w:numPr>
          <w:ilvl w:val="0"/>
          <w:numId w:val="1"/>
        </w:numPr>
        <w:pBdr>
          <w:top w:val="nil"/>
          <w:left w:val="nil"/>
          <w:bottom w:val="nil"/>
          <w:right w:val="nil"/>
          <w:between w:val="nil"/>
        </w:pBdr>
        <w:rPr>
          <w:rFonts w:ascii="Calibri" w:eastAsia="Calibri" w:hAnsi="Calibri" w:cs="Calibri"/>
          <w:b/>
          <w:color w:val="595959"/>
        </w:rPr>
      </w:pPr>
      <w:r>
        <w:rPr>
          <w:rFonts w:ascii="Calibri" w:eastAsia="Calibri" w:hAnsi="Calibri" w:cs="Calibri"/>
          <w:b/>
          <w:color w:val="595959"/>
        </w:rPr>
        <w:t>Riesgos, efectos secundarios y complicaciones de procedimientos quirúrgicos: Cirugía de Mama, Lipoescultura, Tratamientos en la piel (tatuajes, pearcing), cuero cabelludo (implantes de cabello), cirugía bariátrica.</w:t>
      </w:r>
    </w:p>
    <w:p w:rsidR="00940BDE" w:rsidRDefault="005C5EAE">
      <w:pPr>
        <w:numPr>
          <w:ilvl w:val="0"/>
          <w:numId w:val="1"/>
        </w:numPr>
        <w:pBdr>
          <w:top w:val="nil"/>
          <w:left w:val="nil"/>
          <w:bottom w:val="nil"/>
          <w:right w:val="nil"/>
          <w:between w:val="nil"/>
        </w:pBdr>
        <w:rPr>
          <w:rFonts w:ascii="Calibri" w:eastAsia="Calibri" w:hAnsi="Calibri" w:cs="Calibri"/>
          <w:b/>
          <w:color w:val="595959"/>
        </w:rPr>
      </w:pPr>
      <w:r>
        <w:rPr>
          <w:rFonts w:ascii="Calibri" w:eastAsia="Calibri" w:hAnsi="Calibri" w:cs="Calibri"/>
          <w:b/>
          <w:color w:val="595959"/>
        </w:rPr>
        <w:t>Hernias: Hiatal, Inguinal, umbilical, ventral (incisional), epigástrica.</w:t>
      </w:r>
    </w:p>
    <w:p w:rsidR="00940BDE" w:rsidRDefault="005C5EAE">
      <w:pPr>
        <w:numPr>
          <w:ilvl w:val="0"/>
          <w:numId w:val="1"/>
        </w:numPr>
        <w:pBdr>
          <w:top w:val="nil"/>
          <w:left w:val="nil"/>
          <w:bottom w:val="nil"/>
          <w:right w:val="nil"/>
          <w:between w:val="nil"/>
        </w:pBdr>
        <w:rPr>
          <w:rFonts w:ascii="Calibri" w:eastAsia="Calibri" w:hAnsi="Calibri" w:cs="Calibri"/>
          <w:b/>
          <w:color w:val="595959"/>
        </w:rPr>
      </w:pPr>
      <w:r>
        <w:rPr>
          <w:rFonts w:ascii="Calibri" w:eastAsia="Calibri" w:hAnsi="Calibri" w:cs="Calibri"/>
          <w:b/>
          <w:color w:val="595959"/>
        </w:rPr>
        <w:t>Cáncer de mama: ductal in situ, lobulillar in situ, cáncer de glándula mamaria.</w:t>
      </w:r>
    </w:p>
    <w:p w:rsidR="00940BDE" w:rsidRDefault="005C5EAE">
      <w:pPr>
        <w:numPr>
          <w:ilvl w:val="0"/>
          <w:numId w:val="1"/>
        </w:numPr>
        <w:pBdr>
          <w:top w:val="nil"/>
          <w:left w:val="nil"/>
          <w:bottom w:val="nil"/>
          <w:right w:val="nil"/>
          <w:between w:val="nil"/>
        </w:pBdr>
        <w:rPr>
          <w:rFonts w:ascii="Calibri" w:eastAsia="Calibri" w:hAnsi="Calibri" w:cs="Calibri"/>
          <w:b/>
          <w:color w:val="595959"/>
        </w:rPr>
      </w:pPr>
      <w:r>
        <w:rPr>
          <w:rFonts w:ascii="Calibri" w:eastAsia="Calibri" w:hAnsi="Calibri" w:cs="Calibri"/>
          <w:b/>
          <w:color w:val="595959"/>
        </w:rPr>
        <w:lastRenderedPageBreak/>
        <w:t>Enfermedades anorectales. Hemorroides, Fistulas, Tumores, cuerpos extraños, cáncer.</w:t>
      </w:r>
    </w:p>
    <w:p w:rsidR="00940BDE" w:rsidRDefault="005C5EAE">
      <w:pPr>
        <w:numPr>
          <w:ilvl w:val="0"/>
          <w:numId w:val="1"/>
        </w:numPr>
        <w:pBdr>
          <w:top w:val="nil"/>
          <w:left w:val="nil"/>
          <w:bottom w:val="nil"/>
          <w:right w:val="nil"/>
          <w:between w:val="nil"/>
        </w:pBdr>
        <w:rPr>
          <w:rFonts w:ascii="Calibri" w:eastAsia="Calibri" w:hAnsi="Calibri" w:cs="Calibri"/>
          <w:b/>
          <w:color w:val="595959"/>
        </w:rPr>
      </w:pPr>
      <w:r>
        <w:rPr>
          <w:rFonts w:ascii="Calibri" w:eastAsia="Calibri" w:hAnsi="Calibri" w:cs="Calibri"/>
          <w:b/>
          <w:color w:val="595959"/>
        </w:rPr>
        <w:t>Pie diabético: Epidemiología, Infección,  neuropatía, insuficiencia vascular, tratamiento, (farmacológico, curaciones y cicatrización).</w:t>
      </w:r>
    </w:p>
    <w:p w:rsidR="00940BDE" w:rsidRDefault="00940BDE">
      <w:pPr>
        <w:pBdr>
          <w:top w:val="nil"/>
          <w:left w:val="nil"/>
          <w:bottom w:val="nil"/>
          <w:right w:val="nil"/>
          <w:between w:val="nil"/>
        </w:pBdr>
        <w:ind w:left="720"/>
        <w:rPr>
          <w:rFonts w:ascii="Calibri" w:eastAsia="Calibri" w:hAnsi="Calibri" w:cs="Calibri"/>
          <w:b/>
          <w:color w:val="595959"/>
        </w:rPr>
      </w:pPr>
    </w:p>
    <w:p w:rsidR="00940BDE" w:rsidRDefault="005C5EAE">
      <w:pPr>
        <w:rPr>
          <w:rFonts w:ascii="Calibri" w:eastAsia="Calibri" w:hAnsi="Calibri" w:cs="Calibri"/>
          <w:b/>
          <w:color w:val="595959"/>
        </w:rPr>
      </w:pPr>
      <w:r>
        <w:rPr>
          <w:rFonts w:ascii="Calibri" w:eastAsia="Calibri" w:hAnsi="Calibri" w:cs="Calibri"/>
          <w:b/>
          <w:color w:val="595959"/>
        </w:rPr>
        <w:t>Estrategías didácticas:</w:t>
      </w:r>
    </w:p>
    <w:p w:rsidR="00940BDE" w:rsidRDefault="005C5EAE">
      <w:pPr>
        <w:jc w:val="both"/>
        <w:rPr>
          <w:rFonts w:ascii="Calibri" w:eastAsia="Calibri" w:hAnsi="Calibri" w:cs="Calibri"/>
          <w:b/>
          <w:color w:val="595959"/>
        </w:rPr>
      </w:pPr>
      <w:r>
        <w:rPr>
          <w:rFonts w:ascii="Calibri" w:eastAsia="Calibri" w:hAnsi="Calibri" w:cs="Calibri"/>
          <w:b/>
          <w:color w:val="595959"/>
        </w:rPr>
        <w:t xml:space="preserve">Se utilizará la estrategia de Razonamiento Clínico, también de ABP (Aprendizaje Basado en Problemas) que permite a través de situaciones reales resolver problemas clínicos mediante el trabajo individual y en equipo. Se facilitarán casos clínicos comunes de la vida cotidiana y se les dará seguimiento con el facilitador, el cual será de apoyo en la resolución de las dudas planteadas por alumnos para una mejor comprensión de los temas estudiados y se dará una retroalimentación como parte de la evaluación formativa. </w:t>
      </w:r>
    </w:p>
    <w:p w:rsidR="00940BDE" w:rsidRDefault="005C5EAE">
      <w:pPr>
        <w:rPr>
          <w:rFonts w:ascii="Calibri" w:eastAsia="Calibri" w:hAnsi="Calibri" w:cs="Calibri"/>
          <w:b/>
          <w:color w:val="595959"/>
        </w:rPr>
      </w:pPr>
      <w:r>
        <w:rPr>
          <w:rFonts w:ascii="Calibri" w:eastAsia="Calibri" w:hAnsi="Calibri" w:cs="Calibri"/>
          <w:b/>
          <w:color w:val="595959"/>
        </w:rPr>
        <w:t>Se aplicarán exámenes frecuentes y exámenes parciales en las fechas preestablecidas.</w:t>
      </w:r>
    </w:p>
    <w:p w:rsidR="00940BDE" w:rsidRDefault="00940BDE">
      <w:pPr>
        <w:rPr>
          <w:rFonts w:ascii="Calibri" w:eastAsia="Calibri" w:hAnsi="Calibri" w:cs="Calibri"/>
          <w:b/>
          <w:color w:val="595959"/>
        </w:rPr>
      </w:pPr>
    </w:p>
    <w:p w:rsidR="00940BDE" w:rsidRDefault="005C5EAE">
      <w:pPr>
        <w:rPr>
          <w:rFonts w:ascii="Calibri" w:eastAsia="Calibri" w:hAnsi="Calibri" w:cs="Calibri"/>
          <w:b/>
          <w:color w:val="595959"/>
        </w:rPr>
      </w:pPr>
      <w:r>
        <w:rPr>
          <w:rFonts w:ascii="Calibri" w:eastAsia="Calibri" w:hAnsi="Calibri" w:cs="Calibri"/>
          <w:b/>
          <w:color w:val="595959"/>
        </w:rPr>
        <w:t>Actividades:</w:t>
      </w:r>
    </w:p>
    <w:p w:rsidR="00940BDE" w:rsidRDefault="005C5EAE">
      <w:pPr>
        <w:numPr>
          <w:ilvl w:val="0"/>
          <w:numId w:val="3"/>
        </w:numPr>
        <w:pBdr>
          <w:top w:val="nil"/>
          <w:left w:val="nil"/>
          <w:bottom w:val="nil"/>
          <w:right w:val="nil"/>
          <w:between w:val="nil"/>
        </w:pBdr>
        <w:rPr>
          <w:rFonts w:ascii="Calibri" w:eastAsia="Calibri" w:hAnsi="Calibri" w:cs="Calibri"/>
          <w:color w:val="595959"/>
        </w:rPr>
      </w:pPr>
      <w:r>
        <w:rPr>
          <w:rFonts w:ascii="Calibri" w:eastAsia="Calibri" w:hAnsi="Calibri" w:cs="Calibri"/>
          <w:color w:val="595959"/>
        </w:rPr>
        <w:t>Elaboración de tareas, resuelven casos clínicos, revisión de artículos, responder cuestionarios de casos clínicos, realizar resúmenes y discusión de casos clínicos vinculados con los temas del curso.</w:t>
      </w:r>
    </w:p>
    <w:p w:rsidR="00940BDE" w:rsidRDefault="005C5EAE">
      <w:pPr>
        <w:numPr>
          <w:ilvl w:val="0"/>
          <w:numId w:val="3"/>
        </w:numPr>
        <w:pBdr>
          <w:top w:val="nil"/>
          <w:left w:val="nil"/>
          <w:bottom w:val="nil"/>
          <w:right w:val="nil"/>
          <w:between w:val="nil"/>
        </w:pBdr>
        <w:rPr>
          <w:rFonts w:ascii="Calibri" w:eastAsia="Calibri" w:hAnsi="Calibri" w:cs="Calibri"/>
          <w:color w:val="595959"/>
        </w:rPr>
      </w:pPr>
      <w:r>
        <w:rPr>
          <w:rFonts w:ascii="Calibri" w:eastAsia="Calibri" w:hAnsi="Calibri" w:cs="Calibri"/>
          <w:color w:val="595959"/>
        </w:rPr>
        <w:t xml:space="preserve">Se dará una retroalimentación como parte de la evaluación formativa. </w:t>
      </w:r>
    </w:p>
    <w:p w:rsidR="00940BDE" w:rsidRDefault="005C5EAE">
      <w:pPr>
        <w:numPr>
          <w:ilvl w:val="0"/>
          <w:numId w:val="3"/>
        </w:numPr>
        <w:pBdr>
          <w:top w:val="nil"/>
          <w:left w:val="nil"/>
          <w:bottom w:val="nil"/>
          <w:right w:val="nil"/>
          <w:between w:val="nil"/>
        </w:pBdr>
        <w:rPr>
          <w:rFonts w:ascii="Calibri" w:eastAsia="Calibri" w:hAnsi="Calibri" w:cs="Calibri"/>
          <w:color w:val="595959"/>
        </w:rPr>
      </w:pPr>
      <w:r>
        <w:rPr>
          <w:rFonts w:ascii="Calibri" w:eastAsia="Calibri" w:hAnsi="Calibri" w:cs="Calibri"/>
          <w:color w:val="595959"/>
        </w:rPr>
        <w:t xml:space="preserve">Se aplicarán exámenes frecuentes y exámenes parciales en las fechas preestablecidas. </w:t>
      </w:r>
    </w:p>
    <w:p w:rsidR="00940BDE" w:rsidRDefault="00940BDE">
      <w:pPr>
        <w:spacing w:before="280"/>
        <w:rPr>
          <w:rFonts w:ascii="Calibri" w:eastAsia="Calibri" w:hAnsi="Calibri" w:cs="Calibri"/>
          <w:color w:val="000000"/>
        </w:rPr>
      </w:pPr>
    </w:p>
    <w:p w:rsidR="00940BDE" w:rsidRDefault="005C5EAE">
      <w:pPr>
        <w:spacing w:before="280"/>
        <w:ind w:right="-284"/>
        <w:rPr>
          <w:color w:val="000000"/>
          <w:highlight w:val="white"/>
        </w:rPr>
      </w:pPr>
      <w:bookmarkStart w:id="1" w:name="_heading=h.gjdgxs" w:colFirst="0" w:colLast="0"/>
      <w:bookmarkEnd w:id="1"/>
      <w:r>
        <w:rPr>
          <w:rFonts w:ascii="Calibri" w:eastAsia="Calibri" w:hAnsi="Calibri" w:cs="Calibri"/>
          <w:color w:val="000000"/>
        </w:rPr>
        <w:tab/>
      </w:r>
      <w:r>
        <w:rPr>
          <w:rFonts w:ascii="Calibri" w:eastAsia="Calibri" w:hAnsi="Calibri" w:cs="Calibri"/>
          <w:color w:val="000000"/>
        </w:rPr>
        <w:tab/>
        <w:t>E</w:t>
      </w:r>
      <w:r>
        <w:rPr>
          <w:rFonts w:ascii="Calibri" w:eastAsia="Calibri" w:hAnsi="Calibri" w:cs="Calibri"/>
        </w:rPr>
        <w:t>ste curso te enfrenta a desafíos para que aprendas a valorar situaciones problemas,  tomes decisiones y fortalezcas el razonamiento clínico para  la solución de problemas clínicos de tus pacientes.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sectPr w:rsidR="00940BDE">
      <w:pgSz w:w="12240" w:h="15840"/>
      <w:pgMar w:top="993" w:right="1041" w:bottom="144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F3207"/>
    <w:multiLevelType w:val="multilevel"/>
    <w:tmpl w:val="DF9847C4"/>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ED2DA8"/>
    <w:multiLevelType w:val="multilevel"/>
    <w:tmpl w:val="9D80D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B97645"/>
    <w:multiLevelType w:val="multilevel"/>
    <w:tmpl w:val="08668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DE"/>
    <w:rsid w:val="005C5EAE"/>
    <w:rsid w:val="00940BDE"/>
    <w:rsid w:val="00BC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0B81"/>
  <w15:docId w15:val="{A2778E3F-5A2C-4E6D-8645-FE0FA729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72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0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F203E"/>
    <w:rPr>
      <w:rFonts w:ascii="Lucida Grande" w:hAnsi="Lucida Grande"/>
      <w:sz w:val="18"/>
      <w:szCs w:val="18"/>
    </w:rPr>
  </w:style>
  <w:style w:type="character" w:customStyle="1" w:styleId="textoc">
    <w:name w:val="textoc"/>
    <w:basedOn w:val="DefaultParagraphFont"/>
    <w:rsid w:val="00130D23"/>
  </w:style>
  <w:style w:type="paragraph" w:styleId="ListParagraph">
    <w:name w:val="List Paragraph"/>
    <w:basedOn w:val="Normal"/>
    <w:uiPriority w:val="34"/>
    <w:qFormat/>
    <w:rsid w:val="000B51E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s1dgGv8l/l9y99fuRpoEH7C08g==">AMUW2mVPmehBooy1dideQOlnKLphM2Mg/q6FWF+v6c9uoEcwV6GqR+GH6g9DSI9O9qDuJC/lNZ7mvCyQzVn7hkGiJ/f6QD5CiTqxvsUlJ6i8VXm90llApBxnNn5qptdUYTwDeI8BtIbW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Andres Montano</cp:lastModifiedBy>
  <cp:revision>3</cp:revision>
  <dcterms:created xsi:type="dcterms:W3CDTF">2015-03-20T17:47:00Z</dcterms:created>
  <dcterms:modified xsi:type="dcterms:W3CDTF">2020-07-08T21:23:00Z</dcterms:modified>
</cp:coreProperties>
</file>